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内部通報 対応記録</w:t>
      </w:r>
    </w:p>
    <w:p>
      <w:pPr>
        <w:spacing w:after="40"/>
      </w:pPr>
      <w:r>
        <w:rPr>
          <w:color w:val="555B6B"/>
          <w:sz w:val="15"/>
        </w:rPr>
        <w:t>通報者を特定させる情報は、この記録の「受付」欄にだけ書きます。調査の依頼文や報告では、通報者が分かる情報を外します。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受付番号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受付日・方法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通報者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従事者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通報の概要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対応の経過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4143"/>
        <w:gridCol w:w="1381"/>
        <w:gridCol w:w="2959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日付</w:t>
            </w:r>
          </w:p>
        </w:tc>
        <w:tc>
          <w:tcPr>
            <w:tcW w:type="dxa" w:w="414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対応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共有した人と理由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4143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4143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4143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4143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4143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4143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</w:tbl>
    <w:p>
      <w:pPr>
        <w:pStyle w:val="Heading1"/>
      </w:pPr>
      <w:r>
        <w:t>記録の管理</w:t>
      </w:r>
    </w:p>
    <w:p>
      <w:r>
        <w:rPr>
          <w:sz w:val="17"/>
        </w:rPr>
        <w:t>□ 閲覧できる人を従事者に限定した</w:t>
        <w:br/>
      </w:r>
      <w:r>
        <w:rPr>
          <w:sz w:val="17"/>
        </w:rPr>
        <w:t>□ 通報者を特定させる情報を、調査の依頼文から外した</w:t>
        <w:br/>
      </w:r>
      <w:r>
        <w:rPr>
          <w:sz w:val="17"/>
        </w:rPr>
        <w:t>□ 人事記録とは別の場所に保管した</w:t>
        <w:br/>
      </w:r>
      <w:r>
        <w:rPr>
          <w:sz w:val="17"/>
        </w:rPr>
        <w:t>□ 保存期間と廃棄の方法を規程で確認した</w:t>
      </w:r>
    </w:p>
    <w:p>
      <w:r>
        <w:br w:type="page"/>
      </w:r>
    </w:p>
    <w:p>
      <w:pPr>
        <w:pStyle w:val="Title"/>
      </w:pPr>
      <w:r>
        <w:t>内部通報 対応記録　記入例</w:t>
      </w:r>
    </w:p>
    <w:p>
      <w:pPr>
        <w:spacing w:after="40"/>
      </w:pPr>
      <w:r>
        <w:rPr>
          <w:color w:val="555B6B"/>
          <w:sz w:val="15"/>
        </w:rPr>
        <w:t>記入例（架空の会社・架空の事案です）。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受付番号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WB-2026-006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受付日・方法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2026年9月29日　社外窓口（弁護士事務所）経由、書面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通報者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匿名希望。連絡は社外窓口経由のみ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従事者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コンプライアンス部 W、X（指定済みの従事者）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通報の概要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購買部で特定の取引先から私的な接待を繰り返し受けている</w:t>
            </w:r>
          </w:p>
        </w:tc>
      </w:tr>
    </w:tbl>
    <w:p>
      <w:pPr>
        <w:pStyle w:val="Heading1"/>
      </w:pPr>
      <w:r>
        <w:t>対応の経過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4143"/>
        <w:gridCol w:w="1381"/>
        <w:gridCol w:w="2959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日付</w:t>
            </w:r>
          </w:p>
        </w:tc>
        <w:tc>
          <w:tcPr>
            <w:tcW w:type="dxa" w:w="414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対応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共有した人と理由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9月29日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受付。調査の要否を検討し、調査を開始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W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なし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10月2日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取引先からの請求書と経費精算を照合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X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経理部長（資料の提出のため。通報があったことは伝えない）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10月9日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購買部の対象者に聴取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W・X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なし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10月20日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調査結果を報告。社外窓口経由で通報者に通知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W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担当役員（報告のため）</w:t>
            </w:r>
          </w:p>
        </w:tc>
      </w:tr>
    </w:tbl>
    <w:p>
      <w:pPr>
        <w:pStyle w:val="Heading1"/>
      </w:pPr>
      <w:r>
        <w:t>記録の管理</w:t>
      </w:r>
    </w:p>
    <w:p>
      <w:r>
        <w:rPr>
          <w:sz w:val="17"/>
        </w:rPr>
        <w:t>■ 閲覧できる人を従事者に限定した</w:t>
        <w:br/>
      </w:r>
      <w:r>
        <w:rPr>
          <w:sz w:val="17"/>
        </w:rPr>
        <w:t>■ 通報者を特定させる情報を、調査の依頼文から外した</w:t>
        <w:br/>
      </w:r>
      <w:r>
        <w:rPr>
          <w:sz w:val="17"/>
        </w:rPr>
        <w:t>■ 人事記録とは別の場所に保管した</w:t>
        <w:br/>
      </w:r>
      <w:r>
        <w:rPr>
          <w:sz w:val="17"/>
        </w:rPr>
        <w:t>■ 保存期間と廃棄の方法を規程で確認した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jp.klang.ai/guides/whistleblowing-investigation-records/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