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退院前カンファレンス 記録シート</w:t>
      </w:r>
    </w:p>
    <w:p>
      <w:pPr>
        <w:spacing w:after="40"/>
      </w:pPr>
      <w:r>
        <w:rPr>
          <w:color w:val="555B6B"/>
          <w:sz w:val="15"/>
        </w:rPr>
        <w:t>病院と在宅側の参加者が、退院後の生活に必要な情報と役割を確認するための記録です。ケアマネジャーは、日時・場所・出席者・内容を支援経過などに記録します。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日時・場所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対象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出席者（病院側）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出席者（在宅側）</w:t>
            </w:r>
          </w:p>
        </w:tc>
        <w:tc>
          <w:tcPr>
            <w:tcW w:type="dxa" w:w="7694"/>
          </w:tcPr>
          <w:p/>
        </w:tc>
      </w:tr>
    </w:tbl>
    <w:p>
      <w:pPr>
        <w:pStyle w:val="Heading1"/>
      </w:pPr>
      <w:r>
        <w:t>入院中の経過と退院時の状態（病院側から）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474" w:hRule="atLeast"/>
        </w:trPr>
        <w:tc>
          <w:tcPr>
            <w:tcW w:type="dxa" w:w="9865"/>
          </w:tcPr>
          <w:p/>
        </w:tc>
      </w:tr>
    </w:tbl>
    <w:p>
      <w:pPr>
        <w:pStyle w:val="Heading1"/>
      </w:pPr>
      <w:r>
        <w:t>本人・家族の意向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/>
        </w:tc>
      </w:tr>
    </w:tbl>
    <w:p>
      <w:pPr>
        <w:pStyle w:val="Heading1"/>
      </w:pPr>
      <w:r>
        <w:t>退院後の支援と役割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5524"/>
        <w:gridCol w:w="2170"/>
      </w:tblGrid>
      <w:tr>
        <w:trPr>
          <w:tblHeader/>
        </w:trPr>
        <w:tc>
          <w:tcPr>
            <w:tcW w:type="dxa" w:w="2170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項目</w:t>
            </w:r>
          </w:p>
        </w:tc>
        <w:tc>
          <w:tcPr>
            <w:tcW w:type="dxa" w:w="5524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内容</w:t>
            </w:r>
          </w:p>
        </w:tc>
        <w:tc>
          <w:tcPr>
            <w:tcW w:type="dxa" w:w="2170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担当</w:t>
            </w:r>
          </w:p>
        </w:tc>
      </w:tr>
      <w:tr>
        <w:trPr>
          <w:trHeight w:val="396" w:hRule="atLeast"/>
        </w:trPr>
        <w:tc>
          <w:tcPr>
            <w:tcW w:type="dxa" w:w="2170"/>
          </w:tcPr>
          <w:p/>
        </w:tc>
        <w:tc>
          <w:tcPr>
            <w:tcW w:type="dxa" w:w="5524"/>
          </w:tcPr>
          <w:p/>
        </w:tc>
        <w:tc>
          <w:tcPr>
            <w:tcW w:type="dxa" w:w="2170"/>
          </w:tcPr>
          <w:p/>
        </w:tc>
      </w:tr>
      <w:tr>
        <w:trPr>
          <w:trHeight w:val="396" w:hRule="atLeast"/>
        </w:trPr>
        <w:tc>
          <w:tcPr>
            <w:tcW w:type="dxa" w:w="2170"/>
          </w:tcPr>
          <w:p/>
        </w:tc>
        <w:tc>
          <w:tcPr>
            <w:tcW w:type="dxa" w:w="5524"/>
          </w:tcPr>
          <w:p/>
        </w:tc>
        <w:tc>
          <w:tcPr>
            <w:tcW w:type="dxa" w:w="2170"/>
          </w:tcPr>
          <w:p/>
        </w:tc>
      </w:tr>
      <w:tr>
        <w:trPr>
          <w:trHeight w:val="396" w:hRule="atLeast"/>
        </w:trPr>
        <w:tc>
          <w:tcPr>
            <w:tcW w:type="dxa" w:w="2170"/>
          </w:tcPr>
          <w:p/>
        </w:tc>
        <w:tc>
          <w:tcPr>
            <w:tcW w:type="dxa" w:w="5524"/>
          </w:tcPr>
          <w:p/>
        </w:tc>
        <w:tc>
          <w:tcPr>
            <w:tcW w:type="dxa" w:w="2170"/>
          </w:tcPr>
          <w:p/>
        </w:tc>
      </w:tr>
      <w:tr>
        <w:trPr>
          <w:trHeight w:val="396" w:hRule="atLeast"/>
        </w:trPr>
        <w:tc>
          <w:tcPr>
            <w:tcW w:type="dxa" w:w="2170"/>
          </w:tcPr>
          <w:p/>
        </w:tc>
        <w:tc>
          <w:tcPr>
            <w:tcW w:type="dxa" w:w="5524"/>
          </w:tcPr>
          <w:p/>
        </w:tc>
        <w:tc>
          <w:tcPr>
            <w:tcW w:type="dxa" w:w="2170"/>
          </w:tcPr>
          <w:p/>
        </w:tc>
      </w:tr>
      <w:tr>
        <w:trPr>
          <w:trHeight w:val="396" w:hRule="atLeast"/>
        </w:trPr>
        <w:tc>
          <w:tcPr>
            <w:tcW w:type="dxa" w:w="2170"/>
          </w:tcPr>
          <w:p/>
        </w:tc>
        <w:tc>
          <w:tcPr>
            <w:tcW w:type="dxa" w:w="5524"/>
          </w:tcPr>
          <w:p/>
        </w:tc>
        <w:tc>
          <w:tcPr>
            <w:tcW w:type="dxa" w:w="2170"/>
          </w:tcPr>
          <w:p/>
        </w:tc>
      </w:tr>
    </w:tbl>
    <w:p>
      <w:pPr>
        <w:pStyle w:val="Heading1"/>
      </w:pPr>
      <w:r>
        <w:t>確認事項・次の予定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/>
        </w:tc>
      </w:tr>
    </w:tbl>
    <w:p>
      <w:r>
        <w:br w:type="page"/>
      </w:r>
    </w:p>
    <w:p>
      <w:pPr>
        <w:pStyle w:val="Title"/>
      </w:pPr>
      <w:r>
        <w:t>退院前カンファレンス 記録シート　記入例</w:t>
      </w:r>
    </w:p>
    <w:p>
      <w:pPr>
        <w:spacing w:after="40"/>
      </w:pPr>
      <w:r>
        <w:rPr>
          <w:color w:val="555B6B"/>
          <w:sz w:val="15"/>
        </w:rPr>
        <w:t>記入例（架空の病院・患者・事業所です）。診療報酬・介護報酬の算定要件を満たすことを示すものではありません。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日時・場所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2026年10月14日（水）14:00〜14:40　さくら病院 3階面談室／一部オンライン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対象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Eさん（80代・要介護2・架空）　退院予定日 10/21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出席者（病院側）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主治医 高田、病棟看護師 川口、理学療法士 森、MSW 岡田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出席者（在宅側）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本人、長女、ケアマネジャー 佐藤、訪問看護 伊藤（オンライン）、福祉用具 高橋</w:t>
            </w:r>
          </w:p>
        </w:tc>
      </w:tr>
    </w:tbl>
    <w:p>
      <w:pPr>
        <w:pStyle w:val="Heading1"/>
      </w:pPr>
      <w:r>
        <w:t>入院中の経過と退院時の状態（病院側から）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474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・肺炎で入院。抗菌薬の治療は終了。食事は常食、むせなし（主治医 高田）</w:t>
            </w:r>
          </w:p>
          <w:p>
            <w:pPr>
              <w:spacing w:after="0"/>
            </w:pPr>
            <w:r>
              <w:rPr>
                <w:sz w:val="17"/>
              </w:rPr>
              <w:t>・歩行器で見守り歩行。夜間の排尿 2〜3回で、ふらつきがある（PT 森・看護師 川口）</w:t>
            </w:r>
          </w:p>
        </w:tc>
      </w:tr>
    </w:tbl>
    <w:p>
      <w:pPr>
        <w:pStyle w:val="Heading1"/>
      </w:pPr>
      <w:r>
        <w:t>本人・家族の意向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・本人「早く家に帰って、自分でトイレに行きたい」</w:t>
            </w:r>
          </w:p>
          <w:p>
            <w:pPr>
              <w:spacing w:after="0"/>
            </w:pPr>
            <w:r>
              <w:rPr>
                <w:sz w:val="17"/>
              </w:rPr>
              <w:t>・長女「平日の日中は仕事。夜間のトイレが心配」</w:t>
            </w:r>
          </w:p>
        </w:tc>
      </w:tr>
    </w:tbl>
    <w:p>
      <w:pPr>
        <w:pStyle w:val="Heading1"/>
      </w:pPr>
      <w:r>
        <w:t>退院後の支援と役割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5524"/>
        <w:gridCol w:w="2170"/>
      </w:tblGrid>
      <w:tr>
        <w:trPr>
          <w:tblHeader/>
        </w:trPr>
        <w:tc>
          <w:tcPr>
            <w:tcW w:type="dxa" w:w="2170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項目</w:t>
            </w:r>
          </w:p>
        </w:tc>
        <w:tc>
          <w:tcPr>
            <w:tcW w:type="dxa" w:w="5524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内容</w:t>
            </w:r>
          </w:p>
        </w:tc>
        <w:tc>
          <w:tcPr>
            <w:tcW w:type="dxa" w:w="2170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担当</w:t>
            </w:r>
          </w:p>
        </w:tc>
      </w:tr>
      <w:tr>
        <w:trPr>
          <w:trHeight w:val="396" w:hRule="atLeast"/>
        </w:trPr>
        <w:tc>
          <w:tcPr>
            <w:tcW w:type="dxa" w:w="217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医療・服薬</w:t>
            </w:r>
          </w:p>
        </w:tc>
        <w:tc>
          <w:tcPr>
            <w:tcW w:type="dxa" w:w="552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退院時処方は14日分。かかりつけ医への情報提供書を作成</w:t>
            </w:r>
          </w:p>
        </w:tc>
        <w:tc>
          <w:tcPr>
            <w:tcW w:type="dxa" w:w="217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主治医 高田</w:t>
            </w:r>
          </w:p>
        </w:tc>
      </w:tr>
      <w:tr>
        <w:trPr>
          <w:trHeight w:val="396" w:hRule="atLeast"/>
        </w:trPr>
        <w:tc>
          <w:tcPr>
            <w:tcW w:type="dxa" w:w="217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訪問看護</w:t>
            </w:r>
          </w:p>
        </w:tc>
        <w:tc>
          <w:tcPr>
            <w:tcW w:type="dxa" w:w="552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週1回。服薬確認と呼吸状態の観察、緊急時の連絡先</w:t>
            </w:r>
          </w:p>
        </w:tc>
        <w:tc>
          <w:tcPr>
            <w:tcW w:type="dxa" w:w="217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訪問看護 伊藤</w:t>
            </w:r>
          </w:p>
        </w:tc>
      </w:tr>
      <w:tr>
        <w:trPr>
          <w:trHeight w:val="396" w:hRule="atLeast"/>
        </w:trPr>
        <w:tc>
          <w:tcPr>
            <w:tcW w:type="dxa" w:w="217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住環境</w:t>
            </w:r>
          </w:p>
        </w:tc>
        <w:tc>
          <w:tcPr>
            <w:tcW w:type="dxa" w:w="552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寝室〜トイレの手すりとポータブルトイレを退院前に準備</w:t>
            </w:r>
          </w:p>
        </w:tc>
        <w:tc>
          <w:tcPr>
            <w:tcW w:type="dxa" w:w="217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福祉用具 高橋</w:t>
            </w:r>
          </w:p>
        </w:tc>
      </w:tr>
      <w:tr>
        <w:trPr>
          <w:trHeight w:val="396" w:hRule="atLeast"/>
        </w:trPr>
        <w:tc>
          <w:tcPr>
            <w:tcW w:type="dxa" w:w="217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介護サービス</w:t>
            </w:r>
          </w:p>
        </w:tc>
        <w:tc>
          <w:tcPr>
            <w:tcW w:type="dxa" w:w="552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デイサービス週2回を再開。計画を変更し担当者会議を開く</w:t>
            </w:r>
          </w:p>
        </w:tc>
        <w:tc>
          <w:tcPr>
            <w:tcW w:type="dxa" w:w="217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ケアマネ 佐藤</w:t>
            </w:r>
          </w:p>
        </w:tc>
      </w:tr>
    </w:tbl>
    <w:p>
      <w:pPr>
        <w:pStyle w:val="Heading1"/>
      </w:pPr>
      <w:r>
        <w:t>確認事項・次の予定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・10/19 退院前訪問で手すりの位置を確認（PT 森・高橋）。10/22 サービス担当者会議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1020" w:bottom="794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B6B"/>
        <w:sz w:val="14"/>
      </w:rPr>
      <w:t>Klang  |  jp.klang.ai/guides/discharge-conference/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 w:line="264" w:lineRule="auto"/>
    </w:pPr>
    <w:rPr>
      <w:rFonts w:ascii="Noto Sans CJK JP" w:hAnsi="Noto Sans CJK JP" w:eastAsia="Noto Sans CJK JP"/>
      <w:color w:val="11182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40"/>
      <w:outlineLvl w:val="0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111827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Noto Sans CJK JP" w:hAnsi="Noto Sans CJK JP" w:eastAsia="Noto Sans CJK JP"/>
      <w:b/>
      <w:color w:val="111827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